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7A712" w14:textId="0C10911E" w:rsidR="00A66E8C" w:rsidRPr="00A66E8C" w:rsidRDefault="00A66E8C" w:rsidP="00A66E8C">
      <w:pPr>
        <w:pStyle w:val="3GPPHeader"/>
        <w:spacing w:after="60"/>
        <w:rPr>
          <w:rFonts w:cs="Arial"/>
          <w:sz w:val="34"/>
          <w:szCs w:val="34"/>
          <w:highlight w:val="yellow"/>
          <w:lang w:val="de-DE"/>
        </w:rPr>
      </w:pPr>
      <w:bookmarkStart w:id="0" w:name="_Hlk512852793"/>
      <w:r w:rsidRPr="00A66E8C">
        <w:rPr>
          <w:rFonts w:cs="Arial"/>
          <w:sz w:val="26"/>
          <w:szCs w:val="22"/>
          <w:lang w:val="de-DE"/>
        </w:rPr>
        <w:t>3GPP TSG-RAN WG2 #109-e</w:t>
      </w:r>
      <w:r w:rsidRPr="00A66E8C">
        <w:rPr>
          <w:rFonts w:cs="Arial"/>
          <w:sz w:val="26"/>
          <w:szCs w:val="22"/>
          <w:lang w:val="de-DE"/>
        </w:rPr>
        <w:tab/>
      </w:r>
      <w:r w:rsidRPr="00A66E8C">
        <w:rPr>
          <w:rFonts w:cs="Arial"/>
          <w:sz w:val="34"/>
          <w:szCs w:val="34"/>
          <w:lang w:val="de-DE"/>
        </w:rPr>
        <w:t xml:space="preserve"> </w:t>
      </w:r>
      <w:r w:rsidRPr="00A66E8C">
        <w:rPr>
          <w:rFonts w:cs="Arial"/>
          <w:sz w:val="32"/>
          <w:szCs w:val="32"/>
          <w:lang w:val="de-DE"/>
        </w:rPr>
        <w:t xml:space="preserve">TDoc </w:t>
      </w:r>
      <w:bookmarkStart w:id="1" w:name="_GoBack"/>
      <w:r w:rsidR="009E410F" w:rsidRPr="009E410F">
        <w:rPr>
          <w:rFonts w:cs="Arial"/>
          <w:sz w:val="32"/>
          <w:szCs w:val="32"/>
          <w:lang w:val="de-DE"/>
        </w:rPr>
        <w:t>R2-200094</w:t>
      </w:r>
      <w:r w:rsidR="009E410F">
        <w:rPr>
          <w:rFonts w:cs="Arial"/>
          <w:sz w:val="32"/>
          <w:szCs w:val="32"/>
          <w:lang w:val="de-DE"/>
        </w:rPr>
        <w:t>7</w:t>
      </w:r>
      <w:bookmarkEnd w:id="1"/>
    </w:p>
    <w:bookmarkEnd w:id="0"/>
    <w:p w14:paraId="442154E6" w14:textId="77777777" w:rsidR="00A66E8C" w:rsidRPr="00A66E8C" w:rsidRDefault="00A66E8C" w:rsidP="00A66E8C">
      <w:pPr>
        <w:pStyle w:val="CRCoverPage"/>
        <w:outlineLvl w:val="0"/>
        <w:rPr>
          <w:rFonts w:cs="Arial"/>
          <w:b/>
          <w:noProof/>
          <w:sz w:val="26"/>
          <w:szCs w:val="22"/>
        </w:rPr>
      </w:pPr>
      <w:r w:rsidRPr="00A66E8C">
        <w:rPr>
          <w:rFonts w:cs="Arial"/>
          <w:b/>
          <w:noProof/>
          <w:sz w:val="26"/>
          <w:szCs w:val="22"/>
        </w:rPr>
        <w:t>Electronic Meeting, 24</w:t>
      </w:r>
      <w:r w:rsidRPr="00A66E8C">
        <w:rPr>
          <w:rFonts w:cs="Arial"/>
          <w:b/>
          <w:noProof/>
          <w:sz w:val="26"/>
          <w:szCs w:val="22"/>
          <w:vertAlign w:val="superscript"/>
        </w:rPr>
        <w:t>th</w:t>
      </w:r>
      <w:r w:rsidRPr="00A66E8C">
        <w:rPr>
          <w:rFonts w:cs="Arial"/>
          <w:b/>
          <w:noProof/>
          <w:sz w:val="26"/>
          <w:szCs w:val="22"/>
        </w:rPr>
        <w:t xml:space="preserve"> February – 6</w:t>
      </w:r>
      <w:r w:rsidRPr="00A66E8C">
        <w:rPr>
          <w:rFonts w:cs="Arial"/>
          <w:b/>
          <w:noProof/>
          <w:sz w:val="26"/>
          <w:szCs w:val="22"/>
          <w:vertAlign w:val="superscript"/>
        </w:rPr>
        <w:t>th</w:t>
      </w:r>
      <w:r w:rsidRPr="00A66E8C">
        <w:rPr>
          <w:rFonts w:cs="Arial"/>
          <w:b/>
          <w:noProof/>
          <w:sz w:val="26"/>
          <w:szCs w:val="22"/>
        </w:rPr>
        <w:t xml:space="preserve"> March 2020</w:t>
      </w:r>
    </w:p>
    <w:p w14:paraId="7BC3E7C8" w14:textId="77777777" w:rsidR="0068756E" w:rsidRPr="00354B8A" w:rsidRDefault="0068756E" w:rsidP="0068756E">
      <w:pPr>
        <w:pStyle w:val="3GPPHeader"/>
      </w:pPr>
    </w:p>
    <w:p w14:paraId="259FE7C2" w14:textId="4AB6F6D8"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A66E8C">
        <w:rPr>
          <w:sz w:val="22"/>
        </w:rPr>
        <w:t>6.4.2.1</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0F1DDFC5"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061369">
        <w:rPr>
          <w:sz w:val="22"/>
          <w:szCs w:val="22"/>
        </w:rPr>
        <w:t xml:space="preserve">On PC5-S and PC5-RRC signalling </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3193D8B6" w:rsidR="00F7135F" w:rsidRPr="004457DD" w:rsidRDefault="00F7135F" w:rsidP="00F7135F">
      <w:pPr>
        <w:pStyle w:val="BodyText"/>
        <w:rPr>
          <w:rFonts w:eastAsia="DengXian"/>
        </w:rPr>
      </w:pPr>
      <w:bookmarkStart w:id="3" w:name="_Ref458784108"/>
      <w:bookmarkStart w:id="4" w:name="_Ref458381469"/>
      <w:r w:rsidRPr="00CC69E5">
        <w:t>In this paper, we discus</w:t>
      </w:r>
      <w:r w:rsidR="00061369">
        <w:t xml:space="preserve">s some left issues on PC5-S and PC5-RRC </w:t>
      </w:r>
      <w:proofErr w:type="spellStart"/>
      <w:r w:rsidR="00061369">
        <w:t>signaling</w:t>
      </w:r>
      <w:proofErr w:type="spellEnd"/>
    </w:p>
    <w:p w14:paraId="12288EB4" w14:textId="0FED7D5C" w:rsidR="006B0C7E" w:rsidRDefault="00A74E18" w:rsidP="00BB2394">
      <w:pPr>
        <w:pStyle w:val="Heading1"/>
      </w:pPr>
      <w:bookmarkStart w:id="5" w:name="_Ref489281230"/>
      <w:r>
        <w:t>Discussion</w:t>
      </w:r>
      <w:bookmarkEnd w:id="3"/>
      <w:bookmarkEnd w:id="5"/>
    </w:p>
    <w:p w14:paraId="24EEF197" w14:textId="5EF452F8" w:rsidR="00061369" w:rsidRPr="00061369" w:rsidRDefault="00061369" w:rsidP="00061369">
      <w:pPr>
        <w:pStyle w:val="Heading2"/>
      </w:pPr>
      <w:r>
        <w:t xml:space="preserve">Initial PC5-S signalling </w:t>
      </w:r>
    </w:p>
    <w:p w14:paraId="17477335" w14:textId="28C53059" w:rsidR="00F07285" w:rsidRDefault="00F07285" w:rsidP="00965A42">
      <w:r>
        <w:t>In the past RAN2 meetings the following agreements have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7285" w14:paraId="5B2CF213" w14:textId="77777777" w:rsidTr="005B54B8">
        <w:tc>
          <w:tcPr>
            <w:tcW w:w="9855" w:type="dxa"/>
            <w:shd w:val="clear" w:color="auto" w:fill="auto"/>
          </w:tcPr>
          <w:p w14:paraId="3A06A137" w14:textId="4BBFB8ED" w:rsidR="00F07285" w:rsidRPr="005B54B8" w:rsidRDefault="00F07285" w:rsidP="00F07285">
            <w:pPr>
              <w:rPr>
                <w:b/>
                <w:bCs/>
              </w:rPr>
            </w:pPr>
            <w:r w:rsidRPr="005B54B8">
              <w:rPr>
                <w:b/>
                <w:bCs/>
              </w:rPr>
              <w:t>RAN2#107:</w:t>
            </w:r>
          </w:p>
          <w:p w14:paraId="78CA2902" w14:textId="77777777" w:rsidR="00F07285" w:rsidRDefault="00F07285" w:rsidP="00F07285">
            <w:r>
              <w:t>1-3: Cast type is considered as one of the SLRB parameters for common configuration via SIB/</w:t>
            </w:r>
            <w:proofErr w:type="spellStart"/>
            <w:r>
              <w:t>preconfiguration</w:t>
            </w:r>
            <w:proofErr w:type="spellEnd"/>
            <w:r>
              <w:t>. It is applicable to SL broadcast, groupcast and unicast. FFS on its Tx/Rx attribute.</w:t>
            </w:r>
          </w:p>
          <w:p w14:paraId="7658CE37" w14:textId="5E37D030" w:rsidR="00F07285" w:rsidRDefault="00F07285" w:rsidP="00F07285">
            <w:r>
              <w:t>2-1: Default SLRB configuration is applicable for each cast type.</w:t>
            </w:r>
          </w:p>
          <w:p w14:paraId="48504F7E" w14:textId="01076F0C" w:rsidR="00F07285" w:rsidRDefault="00F07285" w:rsidP="00F07285"/>
          <w:p w14:paraId="273C2387" w14:textId="2BFD8B0E" w:rsidR="00F07285" w:rsidRPr="005B54B8" w:rsidRDefault="00F07285" w:rsidP="00F07285">
            <w:pPr>
              <w:rPr>
                <w:b/>
                <w:highlight w:val="green"/>
              </w:rPr>
            </w:pPr>
            <w:r w:rsidRPr="005B54B8">
              <w:rPr>
                <w:b/>
                <w:bCs/>
              </w:rPr>
              <w:t>RAN2#107bis:</w:t>
            </w:r>
          </w:p>
          <w:p w14:paraId="492BB734" w14:textId="77777777" w:rsidR="00F07285" w:rsidRDefault="00F07285" w:rsidP="00F07285">
            <w:r>
              <w:t xml:space="preserve">1: </w:t>
            </w:r>
            <w:r>
              <w:tab/>
              <w:t xml:space="preserve">The Sidelink Control Channel (SCCH) is used to carry PC5-S </w:t>
            </w:r>
            <w:proofErr w:type="spellStart"/>
            <w:r>
              <w:t>signaling</w:t>
            </w:r>
            <w:proofErr w:type="spellEnd"/>
            <w:r>
              <w:t>.</w:t>
            </w:r>
          </w:p>
          <w:p w14:paraId="2D201278" w14:textId="77777777" w:rsidR="00F07285" w:rsidRDefault="00F07285" w:rsidP="00F07285">
            <w:r>
              <w:t>2:</w:t>
            </w:r>
            <w:r>
              <w:tab/>
              <w:t xml:space="preserve">The SL-SRB carrying PC5-S </w:t>
            </w:r>
            <w:proofErr w:type="spellStart"/>
            <w:r>
              <w:t>signaling</w:t>
            </w:r>
            <w:proofErr w:type="spellEnd"/>
            <w:r>
              <w:t xml:space="preserve"> is separated from the SL-SRB carrying PC5-RRC messages.</w:t>
            </w:r>
          </w:p>
          <w:p w14:paraId="5C05FE0B" w14:textId="77777777" w:rsidR="00F07285" w:rsidRDefault="00F07285" w:rsidP="00F07285"/>
          <w:p w14:paraId="2573B7EC" w14:textId="5E12B512" w:rsidR="00F07285" w:rsidRPr="005B54B8" w:rsidRDefault="00F07285" w:rsidP="00F07285">
            <w:pPr>
              <w:rPr>
                <w:b/>
                <w:bCs/>
              </w:rPr>
            </w:pPr>
            <w:r w:rsidRPr="005B54B8">
              <w:rPr>
                <w:b/>
                <w:bCs/>
              </w:rPr>
              <w:t>RAN2#108:</w:t>
            </w:r>
          </w:p>
          <w:p w14:paraId="664FA881" w14:textId="2B638F0D" w:rsidR="00F07285" w:rsidRDefault="00F07285" w:rsidP="00F07285">
            <w:r>
              <w:t>8:</w:t>
            </w:r>
            <w:r>
              <w:tab/>
              <w:t xml:space="preserve">For SL groupcast and broadcast, only 18bits </w:t>
            </w:r>
            <w:proofErr w:type="spellStart"/>
            <w:r>
              <w:t>pdcp</w:t>
            </w:r>
            <w:proofErr w:type="spellEnd"/>
            <w:r>
              <w:t xml:space="preserve">-SN-Size is used for the SL DRB. For SL unicast, 12bits and 18bits </w:t>
            </w:r>
            <w:proofErr w:type="spellStart"/>
            <w:r>
              <w:t>pdcp</w:t>
            </w:r>
            <w:proofErr w:type="spellEnd"/>
            <w:r>
              <w:t>-SN-Size are used for the SL DRB.</w:t>
            </w:r>
          </w:p>
          <w:p w14:paraId="5DF355BC" w14:textId="1E3AAE03" w:rsidR="00F07285" w:rsidRDefault="00F07285" w:rsidP="00965A42">
            <w:r>
              <w:t>9:</w:t>
            </w:r>
            <w:r>
              <w:tab/>
              <w:t xml:space="preserve">For SL unicast, only 12bits </w:t>
            </w:r>
            <w:proofErr w:type="spellStart"/>
            <w:r>
              <w:t>pdcp</w:t>
            </w:r>
            <w:proofErr w:type="spellEnd"/>
            <w:r>
              <w:t xml:space="preserve">-SN-Size is used for the SL SRB including SL SRBs which carrying PC5 Signalling and PC5 RRC message. </w:t>
            </w:r>
            <w:r w:rsidRPr="005B54B8">
              <w:rPr>
                <w:highlight w:val="yellow"/>
              </w:rPr>
              <w:t xml:space="preserve">FFS on how to handle initial PC5-S </w:t>
            </w:r>
            <w:proofErr w:type="spellStart"/>
            <w:r w:rsidRPr="005B54B8">
              <w:rPr>
                <w:highlight w:val="yellow"/>
              </w:rPr>
              <w:t>signaling</w:t>
            </w:r>
            <w:proofErr w:type="spellEnd"/>
            <w:r w:rsidRPr="005B54B8">
              <w:rPr>
                <w:highlight w:val="yellow"/>
              </w:rPr>
              <w:t xml:space="preserve"> for unicast link.</w:t>
            </w:r>
          </w:p>
        </w:tc>
      </w:tr>
    </w:tbl>
    <w:p w14:paraId="6718908E" w14:textId="4C326422" w:rsidR="00F07285" w:rsidRDefault="00F07285" w:rsidP="00965A42"/>
    <w:p w14:paraId="44384B49" w14:textId="1DAEFF3E" w:rsidR="00F07285" w:rsidRDefault="00F07285" w:rsidP="00965A42">
      <w:r>
        <w:t xml:space="preserve">Since the initial PC5-S signalling to establish a unicast connection is a broadcast message, it is natural to send it per a broadcast SRB, while the rest of the PC5-S signalling is sent per a unicast SRB. </w:t>
      </w:r>
    </w:p>
    <w:p w14:paraId="5D82BD9F" w14:textId="4986F0E2" w:rsidR="00F07285" w:rsidRDefault="00F07285" w:rsidP="00F07285">
      <w:pPr>
        <w:pStyle w:val="Proposal"/>
        <w:rPr>
          <w:lang w:val="en-US"/>
        </w:rPr>
      </w:pPr>
      <w:bookmarkStart w:id="6" w:name="_Toc32420421"/>
      <w:r w:rsidRPr="00F07285">
        <w:rPr>
          <w:lang w:val="en-US"/>
        </w:rPr>
        <w:t xml:space="preserve">RAN2 defines </w:t>
      </w:r>
      <w:r>
        <w:rPr>
          <w:lang w:val="en-US"/>
        </w:rPr>
        <w:t>a broadcast</w:t>
      </w:r>
      <w:r w:rsidRPr="00F07285">
        <w:rPr>
          <w:lang w:val="en-US"/>
        </w:rPr>
        <w:t xml:space="preserve"> </w:t>
      </w:r>
      <w:r w:rsidR="00007652">
        <w:rPr>
          <w:lang w:val="en-US"/>
        </w:rPr>
        <w:t xml:space="preserve">SL </w:t>
      </w:r>
      <w:r w:rsidRPr="00F07285">
        <w:rPr>
          <w:lang w:val="en-US"/>
        </w:rPr>
        <w:t xml:space="preserve">SRB to </w:t>
      </w:r>
      <w:r>
        <w:rPr>
          <w:lang w:val="en-US"/>
        </w:rPr>
        <w:t xml:space="preserve">transmit the initial broadcast PC5-S signaling, i.e. direct communication request, and a unicast </w:t>
      </w:r>
      <w:r w:rsidR="00007652">
        <w:rPr>
          <w:lang w:val="en-US"/>
        </w:rPr>
        <w:t xml:space="preserve">SL </w:t>
      </w:r>
      <w:r>
        <w:rPr>
          <w:lang w:val="en-US"/>
        </w:rPr>
        <w:t>SRB to transmit the rest PC5-S signaling.</w:t>
      </w:r>
      <w:bookmarkEnd w:id="6"/>
      <w:r>
        <w:rPr>
          <w:lang w:val="en-US"/>
        </w:rPr>
        <w:t xml:space="preserve"> </w:t>
      </w:r>
    </w:p>
    <w:p w14:paraId="6D2D3AAA" w14:textId="75AA60F1" w:rsidR="00F07285" w:rsidRDefault="00F07285" w:rsidP="00F07285">
      <w:pPr>
        <w:pStyle w:val="Proposal"/>
        <w:numPr>
          <w:ilvl w:val="0"/>
          <w:numId w:val="0"/>
        </w:numPr>
        <w:ind w:left="1304" w:hanging="1304"/>
        <w:rPr>
          <w:lang w:val="en-US"/>
        </w:rPr>
      </w:pPr>
    </w:p>
    <w:p w14:paraId="2455F91C" w14:textId="77B4F958" w:rsidR="00F07285" w:rsidRDefault="00007652" w:rsidP="00007652">
      <w:pPr>
        <w:rPr>
          <w:lang w:val="en-US"/>
        </w:rPr>
      </w:pPr>
      <w:r>
        <w:rPr>
          <w:lang w:val="en-US"/>
        </w:rPr>
        <w:t xml:space="preserve">Regarding whether 12 bits or 18 bits PDCP-SN-Size should be adopted for the initial PC5-S signaling, in our understanding, SRB transmission does not demand high data rate, thus 12 bits PDCP-SN-Size same as for unicast SL SRB is enough. </w:t>
      </w:r>
    </w:p>
    <w:p w14:paraId="74CEA013" w14:textId="5E1FE0F7" w:rsidR="00007652" w:rsidRDefault="00007652" w:rsidP="00007652">
      <w:pPr>
        <w:pStyle w:val="Proposal"/>
        <w:rPr>
          <w:lang w:val="en-US"/>
        </w:rPr>
      </w:pPr>
      <w:bookmarkStart w:id="7" w:name="_Toc32420422"/>
      <w:r>
        <w:rPr>
          <w:lang w:val="en-US"/>
        </w:rPr>
        <w:lastRenderedPageBreak/>
        <w:t>12 bits PDCP-SN-Size is adopted for the broadcast SL SRB transmitting the initial PC5-S signaling.</w:t>
      </w:r>
      <w:bookmarkEnd w:id="7"/>
      <w:r>
        <w:rPr>
          <w:lang w:val="en-US"/>
        </w:rPr>
        <w:t xml:space="preserve"> </w:t>
      </w:r>
    </w:p>
    <w:p w14:paraId="08063AA7" w14:textId="58F7413E" w:rsidR="00061369" w:rsidRDefault="00061369" w:rsidP="00061369">
      <w:pPr>
        <w:pStyle w:val="Proposal"/>
        <w:numPr>
          <w:ilvl w:val="0"/>
          <w:numId w:val="0"/>
        </w:numPr>
        <w:ind w:left="1304" w:hanging="1304"/>
        <w:rPr>
          <w:lang w:val="en-US"/>
        </w:rPr>
      </w:pPr>
    </w:p>
    <w:p w14:paraId="208ECFC0" w14:textId="6025873F" w:rsidR="00061369" w:rsidRDefault="00061369" w:rsidP="00061369">
      <w:pPr>
        <w:pStyle w:val="Heading2"/>
        <w:rPr>
          <w:lang w:val="en-US"/>
        </w:rPr>
      </w:pPr>
      <w:r>
        <w:rPr>
          <w:lang w:val="en-US"/>
        </w:rPr>
        <w:t>TX UE triggered RSRP report over PC5-RRC</w:t>
      </w:r>
    </w:p>
    <w:p w14:paraId="6D92BEE9" w14:textId="005C8FE5" w:rsidR="00061369" w:rsidRDefault="00061369" w:rsidP="00061369">
      <w:r>
        <w:t>In the last RAN2 meeting the following agreements were made regarding SL RSRP report:</w:t>
      </w:r>
    </w:p>
    <w:tbl>
      <w:tblPr>
        <w:tblStyle w:val="TableGrid"/>
        <w:tblW w:w="0" w:type="auto"/>
        <w:tblLook w:val="04A0" w:firstRow="1" w:lastRow="0" w:firstColumn="1" w:lastColumn="0" w:noHBand="0" w:noVBand="1"/>
      </w:tblPr>
      <w:tblGrid>
        <w:gridCol w:w="9855"/>
      </w:tblGrid>
      <w:tr w:rsidR="00061369" w14:paraId="7D3CAB50" w14:textId="77777777" w:rsidTr="00061369">
        <w:tc>
          <w:tcPr>
            <w:tcW w:w="9855" w:type="dxa"/>
          </w:tcPr>
          <w:p w14:paraId="298CA9A7" w14:textId="7068DDBF" w:rsidR="00061369" w:rsidRPr="00061369" w:rsidRDefault="00061369" w:rsidP="00061369">
            <w:pPr>
              <w:rPr>
                <w:b/>
                <w:bCs/>
              </w:rPr>
            </w:pPr>
            <w:r w:rsidRPr="00061369">
              <w:rPr>
                <w:b/>
                <w:bCs/>
              </w:rPr>
              <w:t xml:space="preserve">RAN2#108 </w:t>
            </w:r>
            <w:r w:rsidRPr="00061369">
              <w:rPr>
                <w:b/>
                <w:bCs/>
                <w:highlight w:val="green"/>
              </w:rPr>
              <w:t>Agreements</w:t>
            </w:r>
            <w:r w:rsidRPr="00061369">
              <w:rPr>
                <w:b/>
                <w:bCs/>
              </w:rPr>
              <w:t>:</w:t>
            </w:r>
          </w:p>
          <w:p w14:paraId="1B850ABC" w14:textId="14552B23" w:rsidR="00061369" w:rsidRDefault="00061369" w:rsidP="00061369">
            <w:r>
              <w:t>4:</w:t>
            </w:r>
            <w:r>
              <w:tab/>
              <w:t xml:space="preserve">Rx UE should be able to report the SL-RSRP to Tx UE via PC5-RRC signalling. It is not necessary to notify the </w:t>
            </w:r>
            <w:proofErr w:type="spellStart"/>
            <w:r>
              <w:t>gNB</w:t>
            </w:r>
            <w:proofErr w:type="spellEnd"/>
            <w:r>
              <w:t xml:space="preserve"> of the SL-RSRP measurement result.</w:t>
            </w:r>
          </w:p>
          <w:p w14:paraId="59F98CB6" w14:textId="77777777" w:rsidR="00061369" w:rsidRDefault="00061369" w:rsidP="00061369">
            <w:r>
              <w:t>5:</w:t>
            </w:r>
            <w:r>
              <w:tab/>
              <w:t xml:space="preserve">Both </w:t>
            </w:r>
            <w:proofErr w:type="gramStart"/>
            <w:r>
              <w:t>event</w:t>
            </w:r>
            <w:proofErr w:type="gramEnd"/>
            <w:r>
              <w:t xml:space="preserve"> triggered and periodical </w:t>
            </w:r>
            <w:proofErr w:type="spellStart"/>
            <w:r>
              <w:t>sidelink</w:t>
            </w:r>
            <w:proofErr w:type="spellEnd"/>
            <w:r>
              <w:t xml:space="preserve"> RSRP measurement report could be supported.</w:t>
            </w:r>
          </w:p>
          <w:p w14:paraId="3E592712" w14:textId="5AE3548A" w:rsidR="00061369" w:rsidRDefault="00061369" w:rsidP="00061369">
            <w:r w:rsidRPr="00061369">
              <w:rPr>
                <w:highlight w:val="yellow"/>
              </w:rPr>
              <w:t>6:</w:t>
            </w:r>
            <w:r w:rsidRPr="00061369">
              <w:rPr>
                <w:highlight w:val="yellow"/>
              </w:rPr>
              <w:tab/>
              <w:t>For the event triggered report, at least the Event A1 (SL-RSRP exceeds a threshold) or the Event A2 (SL-RSRP is lower than a threshold) shall be supported.</w:t>
            </w:r>
          </w:p>
        </w:tc>
      </w:tr>
    </w:tbl>
    <w:p w14:paraId="7A08F3EB" w14:textId="77777777" w:rsidR="00061369" w:rsidRDefault="00061369" w:rsidP="00061369"/>
    <w:p w14:paraId="6769B31F" w14:textId="1F096A4B" w:rsidR="00061369" w:rsidRDefault="00061369" w:rsidP="00061369">
      <w:r>
        <w:t>Besides the RX UE triggered SL RSRP report mechanism as in the agreement, in our view, it can also be left to TX UE</w:t>
      </w:r>
      <w:r>
        <w:rPr>
          <w:lang w:val="en-US"/>
        </w:rPr>
        <w:t>’s decision.</w:t>
      </w:r>
      <w:r>
        <w:t xml:space="preserve"> In one case, when the transmission power of the RS used for the RSRP measurement changes too much, TX UE may actively trigger a new SL RSRP report. </w:t>
      </w:r>
    </w:p>
    <w:p w14:paraId="1AC26BFB" w14:textId="5A5C59E4" w:rsidR="00061369" w:rsidRPr="00061369" w:rsidRDefault="00061369" w:rsidP="00061369">
      <w:pPr>
        <w:pStyle w:val="Proposal"/>
      </w:pPr>
      <w:bookmarkStart w:id="8" w:name="_Toc24015432"/>
      <w:bookmarkStart w:id="9" w:name="_Toc24015433"/>
      <w:bookmarkStart w:id="10" w:name="_Toc32420423"/>
      <w:bookmarkEnd w:id="8"/>
      <w:r>
        <w:t>RAN2 supports a TX UE triggered SL RSRP report procedure. The triggering message is sent via PR5-RRC.</w:t>
      </w:r>
      <w:bookmarkEnd w:id="9"/>
      <w:bookmarkEnd w:id="10"/>
    </w:p>
    <w:p w14:paraId="335A2985" w14:textId="77777777" w:rsidR="00A74E18" w:rsidRPr="00CE0424" w:rsidRDefault="00A74E18" w:rsidP="00A74E18">
      <w:pPr>
        <w:pStyle w:val="Heading1"/>
      </w:pPr>
      <w:bookmarkStart w:id="11" w:name="_Toc458380516"/>
      <w:bookmarkStart w:id="12" w:name="_Toc458380524"/>
      <w:bookmarkEnd w:id="4"/>
      <w:bookmarkEnd w:id="11"/>
      <w:bookmarkEnd w:id="12"/>
      <w:r w:rsidRPr="00CE0424">
        <w:t>Conclusion</w:t>
      </w:r>
    </w:p>
    <w:p w14:paraId="24F7A511" w14:textId="77777777" w:rsidR="00176FFB" w:rsidRDefault="00176FFB" w:rsidP="00176FFB">
      <w:bookmarkStart w:id="13" w:name="_In-sequence_SDU_delivery"/>
      <w:bookmarkStart w:id="14" w:name="_Hlk16703546"/>
      <w:bookmarkEnd w:id="13"/>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0043BFF9" w14:textId="77777777" w:rsidR="00061369" w:rsidRDefault="002A1081">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32420421" w:history="1">
        <w:r w:rsidR="00061369" w:rsidRPr="00C755AB">
          <w:rPr>
            <w:rStyle w:val="Hyperlink"/>
            <w:noProof/>
            <w:lang w:val="en-US"/>
          </w:rPr>
          <w:t>Proposal 1</w:t>
        </w:r>
        <w:r w:rsidR="00061369">
          <w:rPr>
            <w:rFonts w:asciiTheme="minorHAnsi" w:eastAsiaTheme="minorEastAsia" w:hAnsiTheme="minorHAnsi" w:cstheme="minorBidi"/>
            <w:b w:val="0"/>
            <w:noProof/>
            <w:sz w:val="22"/>
            <w:szCs w:val="22"/>
          </w:rPr>
          <w:tab/>
        </w:r>
        <w:r w:rsidR="00061369" w:rsidRPr="00C755AB">
          <w:rPr>
            <w:rStyle w:val="Hyperlink"/>
            <w:noProof/>
            <w:lang w:val="en-US"/>
          </w:rPr>
          <w:t>RAN2 defines a broadcast SL SRB to transmit the initial broadcast PC5-S signaling, i.e. direct communication request, and a unicast SL SRB to transmit the rest PC5-S signaling.</w:t>
        </w:r>
      </w:hyperlink>
    </w:p>
    <w:p w14:paraId="42287625" w14:textId="77777777" w:rsidR="00061369" w:rsidRDefault="009E410F">
      <w:pPr>
        <w:pStyle w:val="TableofFigures"/>
        <w:tabs>
          <w:tab w:val="right" w:leader="dot" w:pos="9629"/>
        </w:tabs>
        <w:rPr>
          <w:rFonts w:asciiTheme="minorHAnsi" w:eastAsiaTheme="minorEastAsia" w:hAnsiTheme="minorHAnsi" w:cstheme="minorBidi"/>
          <w:b w:val="0"/>
          <w:noProof/>
          <w:sz w:val="22"/>
          <w:szCs w:val="22"/>
        </w:rPr>
      </w:pPr>
      <w:hyperlink w:anchor="_Toc32420422" w:history="1">
        <w:r w:rsidR="00061369" w:rsidRPr="00C755AB">
          <w:rPr>
            <w:rStyle w:val="Hyperlink"/>
            <w:noProof/>
            <w:lang w:val="en-US"/>
          </w:rPr>
          <w:t>Proposal 2</w:t>
        </w:r>
        <w:r w:rsidR="00061369">
          <w:rPr>
            <w:rFonts w:asciiTheme="minorHAnsi" w:eastAsiaTheme="minorEastAsia" w:hAnsiTheme="minorHAnsi" w:cstheme="minorBidi"/>
            <w:b w:val="0"/>
            <w:noProof/>
            <w:sz w:val="22"/>
            <w:szCs w:val="22"/>
          </w:rPr>
          <w:tab/>
        </w:r>
        <w:r w:rsidR="00061369" w:rsidRPr="00C755AB">
          <w:rPr>
            <w:rStyle w:val="Hyperlink"/>
            <w:noProof/>
            <w:lang w:val="en-US"/>
          </w:rPr>
          <w:t>12 bits PDCP-SN-Size is adopted for the broadcast SL SRB transmitting the initial PC5-S signaling.</w:t>
        </w:r>
      </w:hyperlink>
    </w:p>
    <w:p w14:paraId="2549363F" w14:textId="77777777" w:rsidR="00061369" w:rsidRDefault="009E410F">
      <w:pPr>
        <w:pStyle w:val="TableofFigures"/>
        <w:tabs>
          <w:tab w:val="right" w:leader="dot" w:pos="9629"/>
        </w:tabs>
        <w:rPr>
          <w:rFonts w:asciiTheme="minorHAnsi" w:eastAsiaTheme="minorEastAsia" w:hAnsiTheme="minorHAnsi" w:cstheme="minorBidi"/>
          <w:b w:val="0"/>
          <w:noProof/>
          <w:sz w:val="22"/>
          <w:szCs w:val="22"/>
        </w:rPr>
      </w:pPr>
      <w:hyperlink w:anchor="_Toc32420423" w:history="1">
        <w:r w:rsidR="00061369" w:rsidRPr="00C755AB">
          <w:rPr>
            <w:rStyle w:val="Hyperlink"/>
            <w:noProof/>
          </w:rPr>
          <w:t>Proposal 3</w:t>
        </w:r>
        <w:r w:rsidR="00061369">
          <w:rPr>
            <w:rFonts w:asciiTheme="minorHAnsi" w:eastAsiaTheme="minorEastAsia" w:hAnsiTheme="minorHAnsi" w:cstheme="minorBidi"/>
            <w:b w:val="0"/>
            <w:noProof/>
            <w:sz w:val="22"/>
            <w:szCs w:val="22"/>
          </w:rPr>
          <w:tab/>
        </w:r>
        <w:r w:rsidR="00061369" w:rsidRPr="00C755AB">
          <w:rPr>
            <w:rStyle w:val="Hyperlink"/>
            <w:noProof/>
          </w:rPr>
          <w:t>RAN2 supports a TX UE triggered SL RSRP report procedure. The triggering message is sent via PR5-RRC.</w:t>
        </w:r>
      </w:hyperlink>
    </w:p>
    <w:p w14:paraId="21B40EC6" w14:textId="13535DD7" w:rsidR="00A74E18" w:rsidRPr="000720CE" w:rsidRDefault="002A1081" w:rsidP="00761A29">
      <w:pPr>
        <w:rPr>
          <w:rFonts w:cs="Arial"/>
        </w:rPr>
      </w:pPr>
      <w:r>
        <w:rPr>
          <w:b/>
          <w:bCs/>
        </w:rPr>
        <w:fldChar w:fldCharType="end"/>
      </w:r>
      <w:bookmarkEnd w:id="14"/>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42139" w14:textId="77777777" w:rsidR="005B54B8" w:rsidRDefault="005B54B8">
      <w:r>
        <w:separator/>
      </w:r>
    </w:p>
  </w:endnote>
  <w:endnote w:type="continuationSeparator" w:id="0">
    <w:p w14:paraId="70343B22" w14:textId="77777777" w:rsidR="005B54B8" w:rsidRDefault="005B54B8">
      <w:r>
        <w:continuationSeparator/>
      </w:r>
    </w:p>
  </w:endnote>
  <w:endnote w:type="continuationNotice" w:id="1">
    <w:p w14:paraId="4C85D38A" w14:textId="77777777" w:rsidR="005B54B8" w:rsidRDefault="005B5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7BEBD" w14:textId="77777777" w:rsidR="005B54B8" w:rsidRDefault="005B54B8">
      <w:r>
        <w:separator/>
      </w:r>
    </w:p>
  </w:footnote>
  <w:footnote w:type="continuationSeparator" w:id="0">
    <w:p w14:paraId="5F63CDEC" w14:textId="77777777" w:rsidR="005B54B8" w:rsidRDefault="005B54B8">
      <w:r>
        <w:continuationSeparator/>
      </w:r>
    </w:p>
  </w:footnote>
  <w:footnote w:type="continuationNotice" w:id="1">
    <w:p w14:paraId="2B1E2239" w14:textId="77777777" w:rsidR="005B54B8" w:rsidRDefault="005B5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3"/>
  </w:num>
  <w:num w:numId="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36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1DB5"/>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10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54B8"/>
    <w:rsid w:val="005B6F83"/>
    <w:rsid w:val="005B7657"/>
    <w:rsid w:val="005B7A9D"/>
    <w:rsid w:val="005C0155"/>
    <w:rsid w:val="005C2655"/>
    <w:rsid w:val="005C2F2A"/>
    <w:rsid w:val="005C30A9"/>
    <w:rsid w:val="005C3C3C"/>
    <w:rsid w:val="005C3C7E"/>
    <w:rsid w:val="005C42A4"/>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25B"/>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18B8"/>
    <w:rsid w:val="009C2328"/>
    <w:rsid w:val="009C2715"/>
    <w:rsid w:val="009C32B6"/>
    <w:rsid w:val="009C403E"/>
    <w:rsid w:val="009C4C7E"/>
    <w:rsid w:val="009C5165"/>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10F"/>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6E8C"/>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uiPriority w:val="99"/>
    <w:qFormat/>
    <w:rsid w:val="00362C2A"/>
    <w:rPr>
      <w:sz w:val="16"/>
      <w:szCs w:val="16"/>
    </w:rPr>
  </w:style>
  <w:style w:type="paragraph" w:styleId="CommentText">
    <w:name w:val="annotation text"/>
    <w:basedOn w:val="Normal"/>
    <w:link w:val="CommentTextChar"/>
    <w:uiPriority w:val="99"/>
    <w:qFormat/>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qFormat/>
    <w:rsid w:val="00362C2A"/>
    <w:pPr>
      <w:spacing w:after="180"/>
      <w:jc w:val="left"/>
    </w:pPr>
    <w:rPr>
      <w:lang w:eastAsia="en-US"/>
    </w:rPr>
  </w:style>
  <w:style w:type="paragraph" w:customStyle="1" w:styleId="B2">
    <w:name w:val="B2"/>
    <w:basedOn w:val="List2"/>
    <w:link w:val="B2Char"/>
    <w:qFormat/>
    <w:rsid w:val="00362C2A"/>
    <w:pPr>
      <w:spacing w:after="180"/>
      <w:jc w:val="left"/>
    </w:pPr>
    <w:rPr>
      <w:lang w:eastAsia="en-US"/>
    </w:rPr>
  </w:style>
  <w:style w:type="paragraph" w:customStyle="1" w:styleId="B3">
    <w:name w:val="B3"/>
    <w:basedOn w:val="List3"/>
    <w:link w:val="B3Char"/>
    <w:qFormat/>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qFormat/>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qFormat/>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11"/>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customStyle="1" w:styleId="Style1">
    <w:name w:val="Style1"/>
    <w:basedOn w:val="Normal"/>
    <w:rsid w:val="009C6FAD"/>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7918637">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0906099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4A78-E74F-488B-9B06-36FF20B2F05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6C93D8E-4C24-4D0F-A2FC-F8812B1FE180}"/>
</file>

<file path=customXml/itemProps3.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4.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5.xml><?xml version="1.0" encoding="utf-8"?>
<ds:datastoreItem xmlns:ds="http://schemas.openxmlformats.org/officeDocument/2006/customXml" ds:itemID="{C0A2A18E-7FAA-46B2-A098-95A65C0C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660</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151</cp:revision>
  <cp:lastPrinted>2008-01-31T16:09:00Z</cp:lastPrinted>
  <dcterms:created xsi:type="dcterms:W3CDTF">2019-08-13T16:14:00Z</dcterms:created>
  <dcterms:modified xsi:type="dcterms:W3CDTF">2020-02-13T13:14:00Z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